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0F0F0" w:themeColor="background1"/>
  <w:body>
    <w:p>
      <w:pPr>
        <w:widowControl/>
        <w:spacing w:line="360" w:lineRule="auto"/>
        <w:jc w:val="center"/>
        <w:rPr>
          <w:sz w:val="30"/>
          <w:szCs w:val="30"/>
        </w:rPr>
      </w:pPr>
      <w:r>
        <w:rPr>
          <w:rFonts w:cs="宋体"/>
          <w:sz w:val="30"/>
          <w:szCs w:val="30"/>
        </w:rPr>
        <w:t>国家开放大学</w:t>
      </w:r>
    </w:p>
    <w:p>
      <w:pPr>
        <w:pStyle w:val="10"/>
        <w:widowControl/>
        <w:spacing w:line="360" w:lineRule="auto"/>
        <w:jc w:val="center"/>
        <w:rPr>
          <w:rStyle w:val="12"/>
          <w:rFonts w:ascii="Times New Roman" w:hAnsi="Times New Roman"/>
          <w:sz w:val="30"/>
          <w:szCs w:val="30"/>
        </w:rPr>
      </w:pPr>
      <w:r>
        <w:fldChar w:fldCharType="begin"/>
      </w:r>
      <w:r>
        <w:instrText xml:space="preserve"> HYPERLINK "http://zongbu.ouchn.cn/mod/url/view.php?id=53161" \o "药用分析化学" </w:instrText>
      </w:r>
      <w:r>
        <w:fldChar w:fldCharType="separate"/>
      </w:r>
      <w:r>
        <w:rPr>
          <w:rStyle w:val="16"/>
          <w:rFonts w:ascii="Times New Roman" w:hAnsi="Times New Roman"/>
          <w:b/>
          <w:color w:val="000000" w:themeColor="text1"/>
          <w:sz w:val="30"/>
          <w:szCs w:val="30"/>
          <w:u w:val="none"/>
        </w:rPr>
        <w:t>药理学</w:t>
      </w:r>
      <w:r>
        <w:rPr>
          <w:rStyle w:val="16"/>
          <w:rFonts w:ascii="Times New Roman" w:hAnsi="Times New Roman"/>
          <w:b/>
          <w:color w:val="000000" w:themeColor="text1"/>
          <w:sz w:val="30"/>
          <w:szCs w:val="30"/>
          <w:u w:val="none"/>
        </w:rPr>
        <w:fldChar w:fldCharType="end"/>
      </w:r>
      <w:r>
        <w:rPr>
          <w:rStyle w:val="12"/>
          <w:rFonts w:ascii="Times New Roman" w:hAnsi="Times New Roman"/>
          <w:color w:val="000000" w:themeColor="text1"/>
          <w:sz w:val="30"/>
          <w:szCs w:val="30"/>
        </w:rPr>
        <w:t>课</w:t>
      </w:r>
      <w:r>
        <w:rPr>
          <w:rStyle w:val="12"/>
          <w:rFonts w:ascii="Times New Roman" w:hAnsi="Times New Roman"/>
          <w:sz w:val="30"/>
          <w:szCs w:val="30"/>
        </w:rPr>
        <w:t>程教学大纲</w:t>
      </w:r>
    </w:p>
    <w:p>
      <w:pPr>
        <w:pStyle w:val="10"/>
        <w:widowControl/>
        <w:spacing w:line="360" w:lineRule="auto"/>
        <w:jc w:val="center"/>
        <w:rPr>
          <w:rFonts w:ascii="Times New Roman" w:hAnsi="Times New Roman"/>
        </w:rPr>
      </w:pPr>
      <w:r>
        <w:rPr>
          <w:rStyle w:val="12"/>
          <w:rFonts w:hint="eastAsia" w:ascii="Times New Roman" w:hAnsi="Times New Roman"/>
        </w:rPr>
        <w:t>（</w:t>
      </w:r>
      <w:r>
        <w:rPr>
          <w:rStyle w:val="12"/>
          <w:rFonts w:hint="eastAsia" w:ascii="Times New Roman" w:hAnsi="Times New Roman"/>
          <w:lang w:val="en-US" w:eastAsia="zh-CN"/>
        </w:rPr>
        <w:t>2019春更新</w:t>
      </w:r>
      <w:r>
        <w:rPr>
          <w:rStyle w:val="12"/>
          <w:rFonts w:hint="eastAsia" w:ascii="Times New Roman" w:hAnsi="Times New Roman"/>
        </w:rPr>
        <w:t>）</w:t>
      </w:r>
    </w:p>
    <w:p>
      <w:pPr>
        <w:pStyle w:val="10"/>
        <w:widowControl/>
        <w:spacing w:line="360" w:lineRule="auto"/>
        <w:jc w:val="center"/>
        <w:rPr>
          <w:rStyle w:val="12"/>
          <w:rFonts w:ascii="Times New Roman" w:hAnsi="Times New Roman"/>
          <w:sz w:val="28"/>
          <w:szCs w:val="28"/>
        </w:rPr>
      </w:pPr>
      <w:r>
        <w:rPr>
          <w:rStyle w:val="12"/>
          <w:rFonts w:ascii="Times New Roman" w:hAnsi="Times New Roman"/>
          <w:sz w:val="28"/>
          <w:szCs w:val="28"/>
        </w:rPr>
        <w:t>第一部分　大纲说明</w:t>
      </w:r>
      <w:bookmarkStart w:id="0" w:name="_GoBack"/>
      <w:bookmarkEnd w:id="0"/>
    </w:p>
    <w:p>
      <w:pPr>
        <w:pStyle w:val="10"/>
        <w:widowControl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一、课程性质和任务</w:t>
      </w:r>
    </w:p>
    <w:p>
      <w:pPr>
        <w:pStyle w:val="10"/>
        <w:widowControl/>
        <w:spacing w:line="360" w:lineRule="auto"/>
        <w:ind w:firstLine="480"/>
        <w:rPr>
          <w:rFonts w:ascii="Times New Roman" w:hAnsi="Times New Roman"/>
        </w:rPr>
      </w:pPr>
      <w:r>
        <w:rPr>
          <w:rFonts w:hint="eastAsia" w:ascii="Times New Roman" w:hAnsi="Times New Roman"/>
        </w:rPr>
        <w:t>“</w:t>
      </w:r>
      <w:r>
        <w:fldChar w:fldCharType="begin"/>
      </w:r>
      <w:r>
        <w:instrText xml:space="preserve"> HYPERLINK "http://zongbu.ouchn.cn/mod/url/view.php?id=53161" \o "药用分析化学" </w:instrText>
      </w:r>
      <w:r>
        <w:fldChar w:fldCharType="separate"/>
      </w:r>
      <w:r>
        <w:rPr>
          <w:rStyle w:val="16"/>
          <w:rFonts w:ascii="Times New Roman" w:hAnsi="Times New Roman"/>
        </w:rPr>
        <w:t>药理学</w:t>
      </w:r>
      <w:r>
        <w:rPr>
          <w:rStyle w:val="16"/>
          <w:rFonts w:ascii="Times New Roman" w:hAnsi="Times New Roman"/>
        </w:rPr>
        <w:fldChar w:fldCharType="end"/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课程是国家开放大学药学专业（</w:t>
      </w:r>
      <w:r>
        <w:rPr>
          <w:rFonts w:hint="eastAsia" w:ascii="Times New Roman" w:hAnsi="Times New Roman"/>
        </w:rPr>
        <w:t>本</w:t>
      </w:r>
      <w:r>
        <w:rPr>
          <w:rFonts w:ascii="Times New Roman" w:hAnsi="Times New Roman"/>
        </w:rPr>
        <w:t>科）的</w:t>
      </w:r>
      <w:r>
        <w:rPr>
          <w:rFonts w:hint="eastAsia" w:ascii="Times New Roman" w:hAnsi="Times New Roman"/>
        </w:rPr>
        <w:t>一门专业基础</w:t>
      </w:r>
      <w:r>
        <w:rPr>
          <w:rFonts w:ascii="Times New Roman" w:hAnsi="Times New Roman"/>
        </w:rPr>
        <w:t>课，在药学专业教学计划中占有重要地位。</w:t>
      </w:r>
      <w:r>
        <w:rPr>
          <w:rFonts w:hint="eastAsia" w:ascii="Times New Roman" w:hAnsi="Times New Roman"/>
        </w:rPr>
        <w:t>本课程内容包括总论和各论两大部分，总论部分主要介绍了绪论、药物效应动力学、药物代谢动力的相关内容。总论部分重点是掌握相关的基本概念。各论包括作用于外周神经系统药物的药理、作用于中枢神经系统药物的药理、治疗心血管疾病药物的药理等二十二章。</w:t>
      </w:r>
    </w:p>
    <w:p>
      <w:pPr>
        <w:pStyle w:val="10"/>
        <w:widowControl/>
        <w:spacing w:line="360" w:lineRule="auto"/>
        <w:ind w:firstLine="480"/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本门课程的学习，使学生掌握药理学的基本概念和基本原理，熟悉常用药物的作用特点、作用原理、适应证、临床应用以及典型不良反应，为进行药物合理使用、药事管理、药物生产及研发提供理论和实践基础。通过本课程的学习，培养学生严肃认真、实事求是的科学态度，使其初步具备分析问题和解决问题的能力，为学习药物分析、药物化学、药剂学等专业课程打下良好的基础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二、与相关课程的关系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本课程是在</w:t>
      </w:r>
      <w:r>
        <w:rPr>
          <w:rFonts w:hint="eastAsia" w:ascii="Times New Roman" w:hAnsi="Times New Roman"/>
        </w:rPr>
        <w:t>药物化学、人体解剖生理学</w:t>
      </w:r>
      <w:r>
        <w:rPr>
          <w:rFonts w:ascii="Times New Roman" w:hAnsi="Times New Roman"/>
        </w:rPr>
        <w:t>、</w:t>
      </w:r>
      <w:r>
        <w:rPr>
          <w:rFonts w:hint="eastAsia" w:ascii="Times New Roman" w:hAnsi="Times New Roman"/>
        </w:rPr>
        <w:t>生物化学、病理生理学</w:t>
      </w:r>
      <w:r>
        <w:rPr>
          <w:rFonts w:ascii="Times New Roman" w:hAnsi="Times New Roman"/>
        </w:rPr>
        <w:t>以及其它有关课程的基础上开设的一门专业</w:t>
      </w:r>
      <w:r>
        <w:rPr>
          <w:rFonts w:hint="eastAsia" w:ascii="Times New Roman" w:hAnsi="Times New Roman"/>
        </w:rPr>
        <w:t>基础</w:t>
      </w:r>
      <w:r>
        <w:rPr>
          <w:rFonts w:ascii="Times New Roman" w:hAnsi="Times New Roman"/>
        </w:rPr>
        <w:t>课。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三、课程的教学基本要求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1．掌握药理学的基本</w:t>
      </w:r>
      <w:r>
        <w:rPr>
          <w:rFonts w:hint="eastAsia" w:ascii="Times New Roman" w:hAnsi="Times New Roman"/>
        </w:rPr>
        <w:t>概念和基本原理</w:t>
      </w:r>
      <w:r>
        <w:rPr>
          <w:rFonts w:ascii="Times New Roman" w:hAnsi="Times New Roman"/>
        </w:rPr>
        <w:t>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掌握常用药物的作用机制、临床应用以及典型不良反应</w:t>
      </w:r>
      <w:r>
        <w:rPr>
          <w:rFonts w:ascii="Times New Roman" w:hAnsi="Times New Roman"/>
        </w:rPr>
        <w:t>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四、教学方法及教学形式建议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根据本课程的特点对教学方法及教学形式提出如下建议：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1．本课程是以</w:t>
      </w:r>
      <w:r>
        <w:rPr>
          <w:rFonts w:hint="eastAsia" w:ascii="Times New Roman" w:hAnsi="Times New Roman"/>
        </w:rPr>
        <w:t>生物化学</w:t>
      </w:r>
      <w:r>
        <w:rPr>
          <w:rFonts w:ascii="Times New Roman" w:hAnsi="Times New Roman"/>
        </w:rPr>
        <w:t>、</w:t>
      </w:r>
      <w:r>
        <w:rPr>
          <w:rFonts w:hint="eastAsia" w:ascii="Times New Roman" w:hAnsi="Times New Roman"/>
        </w:rPr>
        <w:t>药物化学、人体解剖生理学、病理生理学</w:t>
      </w:r>
      <w:r>
        <w:rPr>
          <w:rFonts w:ascii="Times New Roman" w:hAnsi="Times New Roman"/>
        </w:rPr>
        <w:t>等课程为基础的专业</w:t>
      </w:r>
      <w:r>
        <w:rPr>
          <w:rFonts w:hint="eastAsia" w:ascii="Times New Roman" w:hAnsi="Times New Roman"/>
        </w:rPr>
        <w:t>基础</w:t>
      </w:r>
      <w:r>
        <w:rPr>
          <w:rFonts w:ascii="Times New Roman" w:hAnsi="Times New Roman"/>
        </w:rPr>
        <w:t>课程</w:t>
      </w:r>
      <w:r>
        <w:rPr>
          <w:rFonts w:hint="eastAsia" w:ascii="Times New Roman" w:hAnsi="Times New Roman"/>
        </w:rPr>
        <w:t>。</w:t>
      </w:r>
      <w:r>
        <w:rPr>
          <w:rFonts w:ascii="Times New Roman" w:hAnsi="Times New Roman"/>
        </w:rPr>
        <w:t>药理学作为</w:t>
      </w:r>
      <w:r>
        <w:rPr>
          <w:rFonts w:hint="eastAsia" w:ascii="Times New Roman" w:hAnsi="Times New Roman"/>
        </w:rPr>
        <w:t>为药物合理使用的基础和中药课程</w:t>
      </w:r>
      <w:r>
        <w:rPr>
          <w:rFonts w:ascii="Times New Roman" w:hAnsi="Times New Roman"/>
        </w:rPr>
        <w:t>，其内容以必需、够用为度。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．应充分利用各种教学媒体的优势，帮助学生理解重、难点内容，达到本课程的教学要求与目的。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五、课程教学要求的层次</w:t>
      </w:r>
      <w:r>
        <w:rPr>
          <w:rStyle w:val="12"/>
          <w:rFonts w:hint="eastAsia" w:ascii="Times New Roman" w:hAnsi="Times New Roman"/>
        </w:rPr>
        <w:t>及考核方式</w:t>
      </w:r>
      <w:r>
        <w:rPr>
          <w:rStyle w:val="12"/>
          <w:rFonts w:ascii="Times New Roman" w:hAnsi="Times New Roman"/>
        </w:rPr>
        <w:t xml:space="preserve"> 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本课程的教学要求分为掌握</w: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</w:rPr>
        <w:t>了解</w:t>
      </w:r>
      <w:r>
        <w:rPr>
          <w:rFonts w:hint="eastAsia"/>
        </w:rPr>
        <w:t>二</w:t>
      </w:r>
      <w:r>
        <w:rPr>
          <w:rFonts w:ascii="Times New Roman" w:hAnsi="Times New Roman"/>
        </w:rPr>
        <w:t>个层次。</w:t>
      </w:r>
      <w:r>
        <w:rPr>
          <w:rFonts w:hint="eastAsia" w:ascii="Times New Roman" w:hAnsi="Times New Roman"/>
        </w:rPr>
        <w:t>课程考核采用形成性考核和终结性考试相结合的方式进行。</w:t>
      </w:r>
    </w:p>
    <w:p>
      <w:pPr>
        <w:pStyle w:val="10"/>
        <w:widowControl/>
        <w:spacing w:line="360" w:lineRule="auto"/>
        <w:jc w:val="center"/>
        <w:rPr>
          <w:rFonts w:ascii="Times New Roman" w:hAnsi="Times New Roman"/>
        </w:rPr>
      </w:pPr>
      <w:r>
        <w:rPr>
          <w:rStyle w:val="12"/>
          <w:rFonts w:ascii="Times New Roman" w:hAnsi="Times New Roman"/>
        </w:rPr>
        <w:t>第二部分　多种媒体教材一体化设计初步方案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一、</w:t>
      </w:r>
      <w:r>
        <w:rPr>
          <w:rStyle w:val="12"/>
          <w:rFonts w:hint="eastAsia" w:ascii="Times New Roman" w:hAnsi="Times New Roman"/>
        </w:rPr>
        <w:t>教学内容</w:t>
      </w:r>
    </w:p>
    <w:p>
      <w:pPr>
        <w:pStyle w:val="10"/>
        <w:widowControl/>
        <w:spacing w:line="360" w:lineRule="auto"/>
        <w:ind w:firstLine="480"/>
        <w:rPr>
          <w:rFonts w:ascii="Times New Roman" w:hAnsi="Times New Roman"/>
        </w:rPr>
      </w:pPr>
      <w:r>
        <w:rPr>
          <w:rFonts w:ascii="Times New Roman" w:hAnsi="Times New Roman"/>
        </w:rPr>
        <w:t>各章</w:t>
      </w:r>
      <w:r>
        <w:rPr>
          <w:rFonts w:hint="eastAsia" w:ascii="Times New Roman" w:hAnsi="Times New Roman"/>
        </w:rPr>
        <w:t>内容</w:t>
      </w:r>
      <w:r>
        <w:rPr>
          <w:rFonts w:ascii="Times New Roman" w:hAnsi="Times New Roman"/>
        </w:rPr>
        <w:t>分配如下：</w:t>
      </w:r>
    </w:p>
    <w:tbl>
      <w:tblPr>
        <w:tblStyle w:val="17"/>
        <w:tblW w:w="88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133"/>
        <w:gridCol w:w="2133"/>
        <w:gridCol w:w="3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章次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教学内容</w:t>
            </w:r>
          </w:p>
        </w:tc>
        <w:tc>
          <w:tcPr>
            <w:tcW w:w="2133" w:type="dxa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章次</w:t>
            </w:r>
          </w:p>
        </w:tc>
        <w:tc>
          <w:tcPr>
            <w:tcW w:w="3357" w:type="dxa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第一章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绪论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第十二章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  <w:bCs/>
                <w:color w:val="000000" w:themeColor="text1"/>
              </w:rPr>
              <w:t>镇痛药与解热镇痛抗炎药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第二章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药物效应动力学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第十三章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抗高血压药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第三章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药物代谢动力学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第十四章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治疗慢性心功能不全药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第四章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拟胆碱药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第十五章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抗心绞痛药和他汀类降血脂药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第五章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抗胆碱药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第十六章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作用于血液和造血系统的药物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第六章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拟肾上腺素药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第十七章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组胺与抗组胺药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第七章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抗肾上腺素药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第十八章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作用于呼吸系统的药物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第八章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镇静催眠抗焦虑药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第十九章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作用于消化系统的药物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第九章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抗精神失常药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第二十章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肾上腺皮质激素类药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抗惊厥药和抗癫痫药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第二十一章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胰岛素和口服降糖药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第十一章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抗帕金森病药</w:t>
            </w:r>
          </w:p>
        </w:tc>
        <w:tc>
          <w:tcPr>
            <w:tcW w:w="2133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第二十二章</w:t>
            </w:r>
          </w:p>
        </w:tc>
        <w:tc>
          <w:tcPr>
            <w:tcW w:w="3357" w:type="dxa"/>
            <w:vAlign w:val="center"/>
          </w:tcPr>
          <w:p>
            <w:pPr>
              <w:pStyle w:val="10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抗菌药物</w:t>
            </w:r>
          </w:p>
        </w:tc>
      </w:tr>
    </w:tbl>
    <w:p>
      <w:pPr>
        <w:pStyle w:val="10"/>
        <w:widowControl/>
        <w:spacing w:line="360" w:lineRule="auto"/>
        <w:rPr>
          <w:rFonts w:ascii="Times New Roman" w:hAnsi="Times New Roman"/>
        </w:rPr>
      </w:pP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Style w:val="12"/>
          <w:rFonts w:ascii="Times New Roman" w:hAnsi="Times New Roman"/>
        </w:rPr>
        <w:t>二、多种媒体教材的总体说明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本课程使用的教学媒体有：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1．文字教材：文字教材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t>主要教学媒体，是本课程教与学和考核的基本依据，对其他教学媒体起纽带作用，具有导学功能。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2．录像教材：录像教材</w: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</w:rPr>
        <w:t>辅媒体，讲授课程的重、难点以及在面授教学中难以实现的教学内容，是对文字教材的强化和补充。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Fonts w:hint="eastAsia" w:ascii="Times New Roman" w:hAnsi="Times New Roman"/>
        </w:rPr>
        <w:t>3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网络课程</w:t>
      </w:r>
      <w:r>
        <w:rPr>
          <w:rFonts w:ascii="Times New Roman" w:hAnsi="Times New Roman"/>
        </w:rPr>
        <w:t>：教学辅导、答疑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阶段性总结和复习等。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</w:t>
      </w:r>
      <w:r>
        <w:rPr>
          <w:rStyle w:val="12"/>
          <w:rFonts w:ascii="Times New Roman" w:hAnsi="Times New Roman"/>
        </w:rPr>
        <w:t>三、教学环节</w:t>
      </w:r>
    </w:p>
    <w:p>
      <w:pPr>
        <w:pStyle w:val="10"/>
        <w:widowControl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以文字教材为基础，通过录像教材等辅助教学媒体强化教学的重、难点内容，并通过实践性教学环节的训练，加深学生对课程内容的理解，掌握各种分析方法</w:t>
      </w:r>
      <w:r>
        <w:rPr>
          <w:rFonts w:hint="eastAsia" w:ascii="Times New Roman" w:hAnsi="Times New Roman"/>
        </w:rPr>
        <w:t>的基本原理和基本</w:t>
      </w:r>
      <w:r>
        <w:rPr>
          <w:rFonts w:ascii="Times New Roman" w:hAnsi="Times New Roman"/>
        </w:rPr>
        <w:t>操作技术。网上教学与教学进度同步，辅以办学试点单位教师的面授辅导，提高教学质量。</w:t>
      </w:r>
    </w:p>
    <w:p>
      <w:pPr>
        <w:pStyle w:val="10"/>
        <w:widowControl/>
        <w:spacing w:line="360" w:lineRule="auto"/>
        <w:jc w:val="center"/>
        <w:rPr>
          <w:rFonts w:ascii="Times New Roman" w:hAnsi="Times New Roman"/>
        </w:rPr>
      </w:pPr>
      <w:r>
        <w:rPr>
          <w:rStyle w:val="12"/>
          <w:rFonts w:ascii="Times New Roman" w:hAnsi="Times New Roman"/>
        </w:rPr>
        <w:t>第三部分　教学内容和教学要求</w:t>
      </w:r>
    </w:p>
    <w:p>
      <w:pPr>
        <w:spacing w:before="156" w:after="156"/>
        <w:rPr>
          <w:bCs/>
          <w:color w:val="000000" w:themeColor="text1"/>
          <w:lang w:val="en-US" w:eastAsia="zh-CN"/>
        </w:rPr>
      </w:pP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第一章 绪论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药理学的定义及任务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药政管理和法规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如何学好药理学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 xml:space="preserve">  药理学的定义和任务，如何学好药理学。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 xml:space="preserve">  药政管理机构和《中华人民共和国药典》。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第二章  药物效应动力学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药物作用与药理效应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药物的作用机制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影响药物效应的因素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药物的作用和药理效应。量效关系的概念及相关术语。受体的类型、激动剂、拮抗剂。ED</w:t>
      </w:r>
      <w:r>
        <w:rPr>
          <w:rFonts w:hint="eastAsia"/>
          <w:bCs/>
          <w:color w:val="000000" w:themeColor="text1"/>
          <w:vertAlign w:val="subscript"/>
          <w:lang w:val="en-US" w:eastAsia="zh-CN"/>
        </w:rPr>
        <w:t>50</w:t>
      </w:r>
      <w:r>
        <w:rPr>
          <w:rFonts w:hint="eastAsia"/>
          <w:bCs/>
          <w:color w:val="000000" w:themeColor="text1"/>
          <w:lang w:val="en-US" w:eastAsia="zh-CN"/>
        </w:rPr>
        <w:t>、LD</w:t>
      </w:r>
      <w:r>
        <w:rPr>
          <w:rFonts w:hint="eastAsia"/>
          <w:bCs/>
          <w:color w:val="000000" w:themeColor="text1"/>
          <w:vertAlign w:val="subscript"/>
          <w:lang w:val="en-US" w:eastAsia="zh-CN"/>
        </w:rPr>
        <w:t>50</w:t>
      </w:r>
      <w:r>
        <w:rPr>
          <w:rFonts w:hint="eastAsia"/>
          <w:bCs/>
          <w:color w:val="000000" w:themeColor="text1"/>
          <w:lang w:val="en-US" w:eastAsia="zh-CN"/>
        </w:rPr>
        <w:t>及治疗指数的概念。不良反应的概念。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药物作用机制的种类，影响药物作用的因素。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第三章  药物代谢动力学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药物跨膜转运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药物的体内过程</w:t>
      </w:r>
    </w:p>
    <w:p>
      <w:pPr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药物的速率过程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被动跨膜转运特点。“首关效应”、“生物利用度”和“表观分布容积”的概念。药物与血浆蛋白结合的意义。药物肾脏排泄的意义。一级消除动力学的特点。血浆半衰期（t</w:t>
      </w:r>
      <w:r>
        <w:rPr>
          <w:rFonts w:hint="eastAsia"/>
          <w:bCs/>
          <w:color w:val="000000" w:themeColor="text1"/>
          <w:vertAlign w:val="subscript"/>
          <w:lang w:val="en-US" w:eastAsia="zh-CN"/>
        </w:rPr>
        <w:t>1/2</w:t>
      </w:r>
      <w:r>
        <w:rPr>
          <w:rFonts w:hint="eastAsia"/>
          <w:bCs/>
          <w:color w:val="000000" w:themeColor="text1"/>
          <w:lang w:val="en-US" w:eastAsia="zh-CN"/>
        </w:rPr>
        <w:t>）概念和意义。时量曲线的意义。血药稳态浓度的概念和临床意义。</w:t>
      </w:r>
    </w:p>
    <w:p>
      <w:pPr>
        <w:spacing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主动跨膜转运的特点。药物代谢酶的作用和临床意义。药酶诱导剂和抑制剂的概念和意义。房室模型的概念。零级消除动力学的概念和意义。其他药物代谢动力学参数的意义。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第四章  拟胆碱药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胆碱能神经和乙酰胆碱受体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胆碱受体激动剂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胆碱酯酶抑制剂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乙酰胆碱的药理作用（M样作用和N样作用）。毛果芸香碱的药理作用、临床应用和不良反应。新斯的明的药理作用，临床应用和不良反应。氨甲酰甲胆碱的作用特点。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卡巴胆碱、乙酰甲胆碱的药理学特点和临床应用。毒扁豆碱、石杉碱甲和多奈哌齐等的作用原理和临床应用。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第五章  抗胆碱药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第—节</w:t>
      </w:r>
      <w:r>
        <w:rPr>
          <w:bCs/>
          <w:color w:val="000000" w:themeColor="text1"/>
          <w:lang w:val="en-US" w:eastAsia="zh-CN"/>
        </w:rPr>
        <w:t xml:space="preserve">  M</w:t>
      </w:r>
      <w:r>
        <w:rPr>
          <w:rFonts w:hint="eastAsia"/>
          <w:bCs/>
          <w:color w:val="000000" w:themeColor="text1"/>
          <w:lang w:val="en-US" w:eastAsia="zh-CN"/>
        </w:rPr>
        <w:t>胆碱受体阻断药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N</w:t>
      </w:r>
      <w:r>
        <w:rPr>
          <w:rFonts w:hint="eastAsia"/>
          <w:bCs/>
          <w:color w:val="000000" w:themeColor="text1"/>
          <w:lang w:val="en-US" w:eastAsia="zh-CN"/>
        </w:rPr>
        <w:t>胆碱受体阻断药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阿托品的药理作用、临床应用和不良反应。东莨菪碱和山莨菪碱（654）的作用特点和临床应用。咪芬药理作用和临床应用。琥珀胆碱的药理作用和临床应用。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后马托品、合成的解痉药的作用特点及临床应用。右旋筒箭毒碱和相应肌松药的作用特点及临床应用。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第六章</w:t>
      </w:r>
      <w:r>
        <w:rPr>
          <w:b/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/>
          <w:bCs/>
          <w:color w:val="000000" w:themeColor="text1"/>
          <w:lang w:val="en-US" w:eastAsia="zh-CN"/>
        </w:rPr>
        <w:t>拟肾上腺素药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单胺类神经递质的合成与受体功能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拟肾上腺素药物分类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第三节α、β受体激动剂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第四节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α受体激动剂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第五节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β受体激动剂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肾上腺素、去甲肾上腺素和异丙肾上腺素的药理作用特点、药理机制和临床应用，尤其是在心血管系统和呼吸系统的治疗应用。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多巴胺、多巴酚丁胺及其他药物的作用特点和临床应用。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第七章  抗肾上腺素药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α肾上腺素受体阻断药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 β肾上腺素受体阻断药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α和β肾上腺素受体阻断药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酚妥拉明的α受体作用特点、临床应用及不良反应。普萘洛尔和阿替洛尔的β受体作用特点、临床应用和不良反应。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妥拉唑林、酚苄明、噻吗洛尔、美托洛尔、拉贝洛尔等药物的临床应用。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第八章  镇静催眠抗焦虑药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苯二氮䓬类药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新型抗焦虑药和催眠药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掌握: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地西泮、丁螺环酮和唑吡坦的药理作用、临床应用和主要不良反应。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了解: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劳拉西泮、唑吡克隆、扎来普隆等相关药物的作用特点和临床应用。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第九章  抗精神失常药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抗精神病药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抗抑郁药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抗躁狂药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掌握: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氯丙嗪的药理作用、临床应用、不良反应和注意事项。氟西汀的药理作用、临床应用和不良反应。碳酸锂的药理作用、临床应用和不良反应。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了解: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阿米替林、利培酮和氯氮平的作用特点和临床应用。西酞普兰、文拉法新等药物的作用特点和临床应用。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第十章</w:t>
      </w:r>
      <w:r>
        <w:rPr>
          <w:b/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/>
          <w:bCs/>
          <w:color w:val="000000" w:themeColor="text1"/>
          <w:lang w:val="en-US" w:eastAsia="zh-CN"/>
        </w:rPr>
        <w:t>抗惊厥药和抗癫痫药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 </w:t>
      </w:r>
      <w:r>
        <w:rPr>
          <w:rFonts w:hint="eastAsia"/>
          <w:bCs/>
          <w:color w:val="000000" w:themeColor="text1"/>
          <w:lang w:val="en-US" w:eastAsia="zh-CN"/>
        </w:rPr>
        <w:t>抗癫痫药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抗惊厥药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常用抗惊厥药和给药途径。常见的癫痫类型和代表性治疗药物及其主要作用机制。苯巴比妥、苯妥英钠、卡马西平、丙戊酸钠、乙琥胺、托吡酯、加巴喷丁的临床应用和主要不良反应。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噻加宾、氨己烯酸、普罗加比、唑尼沙胺和非氨脂的临床应用。抗癫痫药的作用机制。抗癫痫药临床应用注意事项。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第十一章  抗帕金森病药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抗帕金森病药物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L-dopa/卡比多巴、溴隐亭、金刚烷胺、司来吉兰、恩他卡朋和苯海索的药理作用，临床应用和主要不良反应。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苄丝肼、普拉克索、托卡朋、雷沙吉兰、苯扎托品和丙环定的临床应用。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第十二章  镇痛药与解热镇痛抗炎药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麻醉性镇痛药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解热镇痛抗炎药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吗啡、哌替啶和美沙酮的作用原理，药理作用和临床应用。阿片受体拮抗剂纳洛酮的药理学特点。阿司匹林、布洛芬、对乙酰氨基酚和保泰松的药理学特点、临床应用和不良反应。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芬太尼、二氢埃托啡、可待因和选择性环氧酶-2抑制药的作用特点和临床应用。癌症治疗三阶梯原则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第十三章  抗高血压药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利尿药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血管扩张药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第四节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作用于肾素</w:t>
      </w:r>
      <w:r>
        <w:rPr>
          <w:bCs/>
          <w:color w:val="000000" w:themeColor="text1"/>
          <w:lang w:val="en-US"/>
        </w:rPr>
        <w:t>-</w:t>
      </w:r>
      <w:r>
        <w:rPr>
          <w:rFonts w:hint="eastAsia"/>
          <w:bCs/>
          <w:color w:val="000000" w:themeColor="text1"/>
          <w:lang w:val="en-US"/>
        </w:rPr>
        <w:t>血管紧张素系统药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第五节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交感神经抑制药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第六节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肾上腺素受体拮抗剂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抗高血压药物的分类；氢氯噻嗪的作用特点及作用机制；硝苯地平、卡托普利、氯沙坦、普萘洛尔的作用特点、作用机制、临床应用和主要不良反应。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哌唑嗪、阿替洛尔、硝普钠、氨氯地平、贝那普利、缬沙坦等的作用特点和临床应用。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第十四章  治疗慢性心功能不全药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ab/>
      </w:r>
      <w:r>
        <w:rPr>
          <w:bCs/>
          <w:color w:val="000000" w:themeColor="text1"/>
          <w:lang w:val="en-US" w:eastAsia="zh-CN"/>
        </w:rPr>
        <w:t xml:space="preserve">   </w:t>
      </w:r>
      <w:r>
        <w:rPr>
          <w:rFonts w:hint="eastAsia"/>
          <w:bCs/>
          <w:color w:val="000000" w:themeColor="text1"/>
          <w:lang w:val="en-US" w:eastAsia="zh-CN"/>
        </w:rPr>
        <w:t>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利尿药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第三节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血管紧张素Ⅰ转化酶抑制剂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第四节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β受体拮抗剂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第五节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醛固酮受体拮抗剂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第六节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血管紧张素Ⅱ受体拮抗剂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第七节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强心苷类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呋塞米、卡托普利及β受体拮抗剂治疗慢性心功能不全的药理作用及作用机制、临床应用。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治疗慢性心功能不全药的分类及其代表药；地高辛治疗心功能不全的药理作用、作用机制、临床应用和不良反应；血管紧张素Ⅱ受体拮抗剂、醛固酮受体拮抗剂治疗心衰的作用特点、作用机制、临床应用。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第十五章</w:t>
      </w:r>
      <w:r>
        <w:rPr>
          <w:b/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/>
          <w:bCs/>
          <w:color w:val="000000" w:themeColor="text1"/>
          <w:lang w:val="en-US" w:eastAsia="zh-CN"/>
        </w:rPr>
        <w:t>抗心绞痛药和他汀类降血脂药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心绞痛的发病机制及分型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常用的抗心绞痛药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</w:t>
      </w:r>
      <w:r>
        <w:rPr>
          <w:rFonts w:hint="eastAsia"/>
          <w:bCs/>
          <w:color w:val="000000" w:themeColor="text1"/>
          <w:lang w:val="en-US" w:eastAsia="zh-CN"/>
        </w:rPr>
        <w:t>他汀类降血脂药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硝酸甘油的药理作用、作用机制、临床应用、主要不良反应。普萘洛尔治疗心绞痛的药理作用机制及临床应用。他汀类降血脂药的药理作用，作用机制和临床应用。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硝酸异山梨酯和单硝异山梨酯的特点。硝酸甘油、普萘洛尔和钙拮抗剂三类药合用的优点。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第十六章   作用于血液和造血系统的药物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  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止血药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抗血栓药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第四节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抗贫血药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作用于血液和造血系统的药物分类,维生素K、肝素、华法林、阿司匹林、和铁制剂的作用特点、作用机制、临床应用和不良反应。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凝血过程和纤维蛋白溶解过程。氨甲苯酸、叶酸和维生素B12的作用特点，作用机制，临床应用。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第十七章</w:t>
      </w:r>
      <w:r>
        <w:rPr>
          <w:b/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/>
          <w:bCs/>
          <w:color w:val="000000" w:themeColor="text1"/>
          <w:lang w:val="en-US" w:eastAsia="zh-CN"/>
        </w:rPr>
        <w:t>组胺与抗组胺药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组胺受体功能和拮抗剂分类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H</w:t>
      </w:r>
      <w:r>
        <w:rPr>
          <w:bCs/>
          <w:color w:val="000000" w:themeColor="text1"/>
          <w:vertAlign w:val="subscript"/>
          <w:lang w:val="en-US" w:eastAsia="zh-CN"/>
        </w:rPr>
        <w:t>1</w:t>
      </w:r>
      <w:r>
        <w:rPr>
          <w:rFonts w:hint="eastAsia"/>
          <w:bCs/>
          <w:color w:val="000000" w:themeColor="text1"/>
          <w:lang w:val="en-US" w:eastAsia="zh-CN"/>
        </w:rPr>
        <w:t>受体拮抗剂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 H</w:t>
      </w:r>
      <w:r>
        <w:rPr>
          <w:bCs/>
          <w:color w:val="000000" w:themeColor="text1"/>
          <w:vertAlign w:val="subscript"/>
          <w:lang w:val="en-US" w:eastAsia="zh-CN"/>
        </w:rPr>
        <w:t>2</w:t>
      </w:r>
      <w:r>
        <w:rPr>
          <w:rFonts w:hint="eastAsia"/>
          <w:bCs/>
          <w:color w:val="000000" w:themeColor="text1"/>
          <w:lang w:val="en-US" w:eastAsia="zh-CN"/>
        </w:rPr>
        <w:t>受体拮抗剂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组胺受体分类（H1、H2和H3）和激动后的效应；苯海拉明的作用特点、作用机制、临床应用和不良反应。西咪替丁的作用特点、作用机制、临床应用和不良反应。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同类药物的作用特点和临床应用。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第十八章   作用于呼吸系统的药物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  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 </w:t>
      </w:r>
      <w:r>
        <w:rPr>
          <w:rFonts w:hint="eastAsia"/>
          <w:bCs/>
          <w:color w:val="000000" w:themeColor="text1"/>
          <w:lang w:val="en-US" w:eastAsia="zh-CN"/>
        </w:rPr>
        <w:t>平喘药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 </w:t>
      </w:r>
      <w:r>
        <w:rPr>
          <w:rFonts w:hint="eastAsia"/>
          <w:bCs/>
          <w:color w:val="000000" w:themeColor="text1"/>
          <w:lang w:val="en-US" w:eastAsia="zh-CN"/>
        </w:rPr>
        <w:t>祛痰药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第四节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镇咳药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平喘药的分类，沙丁胺醇、氨茶碱和糖皮质激素的作用特点，作用机制，临床应用和不良反应。色甘酸二钠的平喘作用机制、临床应用和用药注意事项。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中枢性镇咳药（可待因、右美沙芬）、外周性镇咳药（苯佐那酯）的药理作用和临床应用，肾上腺皮质激素的使用原则。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第十九章   作用于消化系统的药物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胃酸中和药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 </w:t>
      </w:r>
      <w:r>
        <w:rPr>
          <w:rFonts w:hint="eastAsia"/>
          <w:bCs/>
          <w:color w:val="000000" w:themeColor="text1"/>
          <w:lang w:val="en-US" w:eastAsia="zh-CN"/>
        </w:rPr>
        <w:t>胃酸分泌抑制药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第四节</w:t>
      </w:r>
      <w:r>
        <w:rPr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黏膜保护剂和抗幽门螺杆菌药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胃酸分泌抑制药，以奥美拉唑和西咪替丁为代表的药理作用、临床应用和不良反应。抗幽门螺杆菌药，特别是阿莫西林+克拉霉素+奥美拉唑（甲硝唑+克拉霉素+奥美拉唑）的三联疗法。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胃黏膜保护药前列腺素的临床应用、胃泌素受体拮抗剂。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第二十章   肾上腺皮质激素类药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概述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糖皮质激素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糖皮质激素的药理作用、临床应用和不良反应；氢化可的松、泼尼松和地塞米松的作用比较。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糖皮质激素的作用机制；促肾上腺皮质激素的作用特点及临床应用。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第二十一章  胰岛素和口服降糖药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第一节</w:t>
      </w:r>
      <w:r>
        <w:rPr>
          <w:bCs/>
          <w:color w:val="000000" w:themeColor="text1"/>
          <w:lang w:val="en-US" w:eastAsia="zh-CN"/>
        </w:rPr>
        <w:tab/>
      </w:r>
      <w:r>
        <w:rPr>
          <w:rFonts w:hint="eastAsia"/>
          <w:bCs/>
          <w:color w:val="000000" w:themeColor="text1"/>
          <w:lang w:val="en-US" w:eastAsia="zh-CN"/>
        </w:rPr>
        <w:t>糖尿病和治疗药物分类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第二节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胰岛素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第三节</w:t>
      </w:r>
      <w:r>
        <w:rPr>
          <w:bCs/>
          <w:color w:val="000000" w:themeColor="text1"/>
          <w:lang w:val="en-US" w:eastAsia="zh-CN"/>
        </w:rPr>
        <w:t xml:space="preserve">  </w:t>
      </w:r>
      <w:r>
        <w:rPr>
          <w:rFonts w:hint="eastAsia"/>
          <w:bCs/>
          <w:color w:val="000000" w:themeColor="text1"/>
          <w:lang w:val="en-US" w:eastAsia="zh-CN"/>
        </w:rPr>
        <w:t>口服降血糖药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胰岛素（短效）的作用特点、作用机制、临床应用和不良反应；二甲双胍的作用特点、作用机制、临床应用和不良反应。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产生胰岛素耐受性的原因；磺酰脲类和α-葡萄糖苷酶抑制剂的作用特点与临床应用；二肽基肽酶-4抑制剂。</w:t>
      </w:r>
    </w:p>
    <w:p>
      <w:pPr>
        <w:spacing w:before="156" w:after="156" w:line="360" w:lineRule="auto"/>
        <w:jc w:val="center"/>
        <w:rPr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第二十二章 抗菌药物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一、教学内容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第一节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基本概念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第二节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青霉素类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第三节</w:t>
      </w:r>
      <w:r>
        <w:rPr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头孢菌素类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第四节</w:t>
      </w:r>
      <w:r>
        <w:rPr>
          <w:bCs/>
          <w:color w:val="000000" w:themeColor="text1"/>
          <w:lang w:val="en-US"/>
        </w:rPr>
        <w:t xml:space="preserve">  </w:t>
      </w:r>
      <w:r>
        <w:rPr>
          <w:rFonts w:hint="eastAsia"/>
          <w:bCs/>
          <w:color w:val="000000" w:themeColor="text1"/>
          <w:lang w:val="en-US"/>
        </w:rPr>
        <w:t>β</w:t>
      </w:r>
      <w:r>
        <w:rPr>
          <w:bCs/>
          <w:color w:val="000000" w:themeColor="text1"/>
          <w:lang w:val="en-US"/>
        </w:rPr>
        <w:t>-</w:t>
      </w:r>
      <w:r>
        <w:rPr>
          <w:rFonts w:hint="eastAsia"/>
          <w:bCs/>
          <w:color w:val="000000" w:themeColor="text1"/>
          <w:lang w:val="en-US"/>
        </w:rPr>
        <w:t>内酰胺酶抑制剂和多黏菌素类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第五节</w:t>
      </w:r>
      <w:r>
        <w:rPr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影响细菌叶酸合成的抗菌药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第六节</w:t>
      </w:r>
      <w:r>
        <w:rPr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氟喹诺酮类</w:t>
      </w:r>
    </w:p>
    <w:p>
      <w:pPr>
        <w:spacing w:before="156" w:after="156" w:line="360" w:lineRule="auto"/>
        <w:rPr>
          <w:bCs/>
          <w:color w:val="000000" w:themeColor="text1"/>
          <w:lang w:val="en-US"/>
        </w:rPr>
      </w:pPr>
      <w:r>
        <w:rPr>
          <w:rFonts w:hint="eastAsia"/>
          <w:bCs/>
          <w:color w:val="000000" w:themeColor="text1"/>
          <w:lang w:val="en-US"/>
        </w:rPr>
        <w:t>第七节</w:t>
      </w:r>
      <w:r>
        <w:rPr>
          <w:bCs/>
          <w:color w:val="000000" w:themeColor="text1"/>
          <w:lang w:val="en-US"/>
        </w:rPr>
        <w:t xml:space="preserve"> </w:t>
      </w:r>
      <w:r>
        <w:rPr>
          <w:rFonts w:hint="eastAsia"/>
          <w:bCs/>
          <w:color w:val="000000" w:themeColor="text1"/>
          <w:lang w:val="en-US"/>
        </w:rPr>
        <w:t>影响核酸和蛋白质合成的抗菌药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二、教学要求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1. 掌握：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抗菌药的基本概念，作用机制、耐药性产生原因和用药原则。下述代表药物的药理、临床应用和主要不良反应。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（1）青霉素Ｇ的作用特点、抗菌谱、临床应用和不良反应。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（2）1-4代头孢菌素的特点及代表药和临床应用特点。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（3）磺胺甲基异恶唑（SMZ）和甲氧苄啶（TMP）的作用环节，合用的优点。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（4）喹诺酮类药物的作用特点，临床应用。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（6）利福平的作用特点和临床应用。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（7）红霉素作用特点（作用于核糖体50s）、抗菌谱和临床应用。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</w:pPr>
      <w:r>
        <w:rPr>
          <w:rFonts w:hint="eastAsia"/>
          <w:bCs/>
          <w:color w:val="000000" w:themeColor="text1"/>
          <w:lang w:val="en-US" w:eastAsia="zh-CN"/>
        </w:rPr>
        <w:t>（8）庆大霉作用特点（作用于核糖体30s）、抗菌谱、临床应用和不良反应。</w:t>
      </w:r>
    </w:p>
    <w:p>
      <w:pPr>
        <w:spacing w:before="156" w:after="156" w:line="360" w:lineRule="auto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2. 了解：</w:t>
      </w:r>
    </w:p>
    <w:p>
      <w:pPr>
        <w:spacing w:before="156" w:after="156" w:line="360" w:lineRule="auto"/>
        <w:rPr>
          <w:bCs/>
          <w:color w:val="000000" w:themeColor="text1"/>
          <w:lang w:val="en-US" w:eastAsia="zh-CN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Cs/>
          <w:color w:val="000000" w:themeColor="text1"/>
          <w:lang w:val="en-US" w:eastAsia="zh-CN"/>
        </w:rPr>
        <w:t>耐酸和耐酶青霉素类药物的临床应用。头孢类常用药物。其他沙星类常用药物。红霉素的新品</w:t>
      </w:r>
    </w:p>
    <w:p>
      <w:pPr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separate"/>
    </w:r>
    <w:r>
      <w:rPr>
        <w:rStyle w:val="13"/>
      </w:rPr>
      <w:t>1</w:t>
    </w:r>
    <w:r>
      <w:rPr>
        <w:rStyle w:val="13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A8C"/>
    <w:rsid w:val="0001026F"/>
    <w:rsid w:val="000125A3"/>
    <w:rsid w:val="000128D7"/>
    <w:rsid w:val="000155BB"/>
    <w:rsid w:val="0002050E"/>
    <w:rsid w:val="00020B4B"/>
    <w:rsid w:val="000225F4"/>
    <w:rsid w:val="00025B18"/>
    <w:rsid w:val="00033E12"/>
    <w:rsid w:val="000342F3"/>
    <w:rsid w:val="000373F6"/>
    <w:rsid w:val="00042B96"/>
    <w:rsid w:val="0004732D"/>
    <w:rsid w:val="000542C3"/>
    <w:rsid w:val="00054692"/>
    <w:rsid w:val="000575F5"/>
    <w:rsid w:val="000614D6"/>
    <w:rsid w:val="00065A86"/>
    <w:rsid w:val="0006607D"/>
    <w:rsid w:val="00077781"/>
    <w:rsid w:val="00080623"/>
    <w:rsid w:val="00081D63"/>
    <w:rsid w:val="00083E3E"/>
    <w:rsid w:val="00086E2A"/>
    <w:rsid w:val="00096C53"/>
    <w:rsid w:val="000A13BB"/>
    <w:rsid w:val="000A503C"/>
    <w:rsid w:val="000B5EDF"/>
    <w:rsid w:val="000C0CEC"/>
    <w:rsid w:val="000D3ACB"/>
    <w:rsid w:val="000E51F1"/>
    <w:rsid w:val="000E7436"/>
    <w:rsid w:val="000F1E35"/>
    <w:rsid w:val="000F34DD"/>
    <w:rsid w:val="000F5E2F"/>
    <w:rsid w:val="0010686C"/>
    <w:rsid w:val="00110070"/>
    <w:rsid w:val="00110184"/>
    <w:rsid w:val="00115140"/>
    <w:rsid w:val="00125E61"/>
    <w:rsid w:val="0012741E"/>
    <w:rsid w:val="00131382"/>
    <w:rsid w:val="00132629"/>
    <w:rsid w:val="00135BA9"/>
    <w:rsid w:val="00137402"/>
    <w:rsid w:val="00150A3F"/>
    <w:rsid w:val="00154326"/>
    <w:rsid w:val="00156FFF"/>
    <w:rsid w:val="00160416"/>
    <w:rsid w:val="001606B8"/>
    <w:rsid w:val="00172A27"/>
    <w:rsid w:val="001745FF"/>
    <w:rsid w:val="00174DEF"/>
    <w:rsid w:val="0018441B"/>
    <w:rsid w:val="00190087"/>
    <w:rsid w:val="001909F7"/>
    <w:rsid w:val="001A0B0A"/>
    <w:rsid w:val="001A23A5"/>
    <w:rsid w:val="001B22F0"/>
    <w:rsid w:val="001B2A37"/>
    <w:rsid w:val="001B3D50"/>
    <w:rsid w:val="001C7A14"/>
    <w:rsid w:val="001D106E"/>
    <w:rsid w:val="001D5D43"/>
    <w:rsid w:val="001D6A57"/>
    <w:rsid w:val="001E02A9"/>
    <w:rsid w:val="001E175F"/>
    <w:rsid w:val="001E1C2D"/>
    <w:rsid w:val="001E4CE9"/>
    <w:rsid w:val="00200009"/>
    <w:rsid w:val="0020260B"/>
    <w:rsid w:val="0020744C"/>
    <w:rsid w:val="00207C19"/>
    <w:rsid w:val="00207DE9"/>
    <w:rsid w:val="00214E25"/>
    <w:rsid w:val="00217FD4"/>
    <w:rsid w:val="002231A9"/>
    <w:rsid w:val="002248F6"/>
    <w:rsid w:val="00224E73"/>
    <w:rsid w:val="0026188D"/>
    <w:rsid w:val="00262BBB"/>
    <w:rsid w:val="00267110"/>
    <w:rsid w:val="00277CFB"/>
    <w:rsid w:val="002902BC"/>
    <w:rsid w:val="00290564"/>
    <w:rsid w:val="00291837"/>
    <w:rsid w:val="00292D21"/>
    <w:rsid w:val="002974F7"/>
    <w:rsid w:val="002A10BA"/>
    <w:rsid w:val="002C2C84"/>
    <w:rsid w:val="002D208F"/>
    <w:rsid w:val="002D26EA"/>
    <w:rsid w:val="002D2D3A"/>
    <w:rsid w:val="002D516C"/>
    <w:rsid w:val="002D67EF"/>
    <w:rsid w:val="002D6918"/>
    <w:rsid w:val="002E2962"/>
    <w:rsid w:val="002E33A8"/>
    <w:rsid w:val="002E4BA6"/>
    <w:rsid w:val="002E5F8A"/>
    <w:rsid w:val="00301061"/>
    <w:rsid w:val="00302DC8"/>
    <w:rsid w:val="0031280E"/>
    <w:rsid w:val="00317116"/>
    <w:rsid w:val="00323841"/>
    <w:rsid w:val="00330E21"/>
    <w:rsid w:val="003358FF"/>
    <w:rsid w:val="00336770"/>
    <w:rsid w:val="00336CFA"/>
    <w:rsid w:val="00337BD5"/>
    <w:rsid w:val="0034059D"/>
    <w:rsid w:val="00343523"/>
    <w:rsid w:val="00343717"/>
    <w:rsid w:val="00350384"/>
    <w:rsid w:val="00364757"/>
    <w:rsid w:val="00364939"/>
    <w:rsid w:val="00365971"/>
    <w:rsid w:val="00366804"/>
    <w:rsid w:val="00370799"/>
    <w:rsid w:val="00382EB9"/>
    <w:rsid w:val="0039280B"/>
    <w:rsid w:val="00393FAF"/>
    <w:rsid w:val="0039719E"/>
    <w:rsid w:val="00397743"/>
    <w:rsid w:val="00397E25"/>
    <w:rsid w:val="003A2E00"/>
    <w:rsid w:val="003A3374"/>
    <w:rsid w:val="003A4895"/>
    <w:rsid w:val="003B3BAF"/>
    <w:rsid w:val="003B4B10"/>
    <w:rsid w:val="003B4CAB"/>
    <w:rsid w:val="003B5E8B"/>
    <w:rsid w:val="003B638B"/>
    <w:rsid w:val="003C1DA1"/>
    <w:rsid w:val="003C441C"/>
    <w:rsid w:val="003C7E65"/>
    <w:rsid w:val="003C7F19"/>
    <w:rsid w:val="003D12C2"/>
    <w:rsid w:val="003D2162"/>
    <w:rsid w:val="003D4D2C"/>
    <w:rsid w:val="003D7523"/>
    <w:rsid w:val="003E7A0D"/>
    <w:rsid w:val="003F1723"/>
    <w:rsid w:val="003F287C"/>
    <w:rsid w:val="003F41FE"/>
    <w:rsid w:val="003F67C8"/>
    <w:rsid w:val="0040146F"/>
    <w:rsid w:val="00412BB6"/>
    <w:rsid w:val="00413E30"/>
    <w:rsid w:val="004162DA"/>
    <w:rsid w:val="004209B2"/>
    <w:rsid w:val="0042652A"/>
    <w:rsid w:val="0043262C"/>
    <w:rsid w:val="004335A7"/>
    <w:rsid w:val="00435243"/>
    <w:rsid w:val="00445A05"/>
    <w:rsid w:val="0045088B"/>
    <w:rsid w:val="0045424E"/>
    <w:rsid w:val="004609F4"/>
    <w:rsid w:val="004616DE"/>
    <w:rsid w:val="00462BB6"/>
    <w:rsid w:val="00464C75"/>
    <w:rsid w:val="00464D07"/>
    <w:rsid w:val="004651FE"/>
    <w:rsid w:val="00472E55"/>
    <w:rsid w:val="00475A8D"/>
    <w:rsid w:val="00475CD8"/>
    <w:rsid w:val="00476A98"/>
    <w:rsid w:val="0047725E"/>
    <w:rsid w:val="004801EF"/>
    <w:rsid w:val="004833E7"/>
    <w:rsid w:val="00484281"/>
    <w:rsid w:val="004901B4"/>
    <w:rsid w:val="00491549"/>
    <w:rsid w:val="0049555C"/>
    <w:rsid w:val="00496B21"/>
    <w:rsid w:val="004A0AFC"/>
    <w:rsid w:val="004A2CF1"/>
    <w:rsid w:val="004A390D"/>
    <w:rsid w:val="004A6E21"/>
    <w:rsid w:val="004B4233"/>
    <w:rsid w:val="004B4B1F"/>
    <w:rsid w:val="004B6D89"/>
    <w:rsid w:val="004B7075"/>
    <w:rsid w:val="004C0E95"/>
    <w:rsid w:val="004C1C9C"/>
    <w:rsid w:val="004C60F8"/>
    <w:rsid w:val="004D1C31"/>
    <w:rsid w:val="004D6A9D"/>
    <w:rsid w:val="004E41FA"/>
    <w:rsid w:val="004E459B"/>
    <w:rsid w:val="004F200C"/>
    <w:rsid w:val="004F3421"/>
    <w:rsid w:val="004F39B8"/>
    <w:rsid w:val="004F4A9A"/>
    <w:rsid w:val="004F6D5B"/>
    <w:rsid w:val="00501DCF"/>
    <w:rsid w:val="00510594"/>
    <w:rsid w:val="0053540A"/>
    <w:rsid w:val="0053560A"/>
    <w:rsid w:val="005360D8"/>
    <w:rsid w:val="00537175"/>
    <w:rsid w:val="00537FFD"/>
    <w:rsid w:val="00541500"/>
    <w:rsid w:val="00544C50"/>
    <w:rsid w:val="0054620B"/>
    <w:rsid w:val="00547575"/>
    <w:rsid w:val="00547D12"/>
    <w:rsid w:val="005506DB"/>
    <w:rsid w:val="00552646"/>
    <w:rsid w:val="005534BA"/>
    <w:rsid w:val="00557E2C"/>
    <w:rsid w:val="00563E1F"/>
    <w:rsid w:val="00564A24"/>
    <w:rsid w:val="00573CB5"/>
    <w:rsid w:val="00577273"/>
    <w:rsid w:val="00582603"/>
    <w:rsid w:val="00586049"/>
    <w:rsid w:val="005872A2"/>
    <w:rsid w:val="0059335A"/>
    <w:rsid w:val="005A538F"/>
    <w:rsid w:val="005B0DFA"/>
    <w:rsid w:val="005B34DA"/>
    <w:rsid w:val="005B5665"/>
    <w:rsid w:val="005B6D30"/>
    <w:rsid w:val="005C267B"/>
    <w:rsid w:val="005C57A6"/>
    <w:rsid w:val="005C6461"/>
    <w:rsid w:val="005D2A9B"/>
    <w:rsid w:val="005E30FA"/>
    <w:rsid w:val="005E4D11"/>
    <w:rsid w:val="005E56E6"/>
    <w:rsid w:val="005F12B7"/>
    <w:rsid w:val="00601E2D"/>
    <w:rsid w:val="0060461B"/>
    <w:rsid w:val="006116AE"/>
    <w:rsid w:val="006165E4"/>
    <w:rsid w:val="00620711"/>
    <w:rsid w:val="00625871"/>
    <w:rsid w:val="00634183"/>
    <w:rsid w:val="00635367"/>
    <w:rsid w:val="00635411"/>
    <w:rsid w:val="00637DDC"/>
    <w:rsid w:val="00640348"/>
    <w:rsid w:val="006431A9"/>
    <w:rsid w:val="00644FF9"/>
    <w:rsid w:val="00653625"/>
    <w:rsid w:val="00654FAA"/>
    <w:rsid w:val="00657256"/>
    <w:rsid w:val="00664030"/>
    <w:rsid w:val="00672E42"/>
    <w:rsid w:val="00674C41"/>
    <w:rsid w:val="00674D82"/>
    <w:rsid w:val="00677240"/>
    <w:rsid w:val="00677357"/>
    <w:rsid w:val="006773CB"/>
    <w:rsid w:val="00677659"/>
    <w:rsid w:val="00686EC8"/>
    <w:rsid w:val="00692F3C"/>
    <w:rsid w:val="00697FA2"/>
    <w:rsid w:val="006A1696"/>
    <w:rsid w:val="006A3265"/>
    <w:rsid w:val="006A4648"/>
    <w:rsid w:val="006A7BFC"/>
    <w:rsid w:val="006B4C20"/>
    <w:rsid w:val="006B6059"/>
    <w:rsid w:val="006B6E79"/>
    <w:rsid w:val="006C02C2"/>
    <w:rsid w:val="006C0D43"/>
    <w:rsid w:val="006C7ECB"/>
    <w:rsid w:val="006D1B0B"/>
    <w:rsid w:val="006D42F6"/>
    <w:rsid w:val="006D4FC6"/>
    <w:rsid w:val="006E039E"/>
    <w:rsid w:val="006E03AF"/>
    <w:rsid w:val="006F2C79"/>
    <w:rsid w:val="006F5D98"/>
    <w:rsid w:val="006F5E42"/>
    <w:rsid w:val="006F677F"/>
    <w:rsid w:val="006F67CB"/>
    <w:rsid w:val="006F6EF7"/>
    <w:rsid w:val="00704485"/>
    <w:rsid w:val="007062E3"/>
    <w:rsid w:val="007158FA"/>
    <w:rsid w:val="0072226A"/>
    <w:rsid w:val="00724E71"/>
    <w:rsid w:val="007275D7"/>
    <w:rsid w:val="00731BDC"/>
    <w:rsid w:val="00734CE3"/>
    <w:rsid w:val="007378F1"/>
    <w:rsid w:val="00740925"/>
    <w:rsid w:val="00741642"/>
    <w:rsid w:val="00745F52"/>
    <w:rsid w:val="00747662"/>
    <w:rsid w:val="00755270"/>
    <w:rsid w:val="00757DF3"/>
    <w:rsid w:val="00766401"/>
    <w:rsid w:val="00774FA0"/>
    <w:rsid w:val="0079427B"/>
    <w:rsid w:val="007A06DE"/>
    <w:rsid w:val="007A28C7"/>
    <w:rsid w:val="007A574A"/>
    <w:rsid w:val="007B10F0"/>
    <w:rsid w:val="007B29FF"/>
    <w:rsid w:val="007B2CCA"/>
    <w:rsid w:val="007C17D8"/>
    <w:rsid w:val="007C233B"/>
    <w:rsid w:val="007D2E6E"/>
    <w:rsid w:val="007D3D59"/>
    <w:rsid w:val="007D506C"/>
    <w:rsid w:val="007D7567"/>
    <w:rsid w:val="007E40AC"/>
    <w:rsid w:val="007E6E59"/>
    <w:rsid w:val="007F1EF9"/>
    <w:rsid w:val="007F26F4"/>
    <w:rsid w:val="007F6CD2"/>
    <w:rsid w:val="00804539"/>
    <w:rsid w:val="00804928"/>
    <w:rsid w:val="008061F1"/>
    <w:rsid w:val="00807552"/>
    <w:rsid w:val="008142E0"/>
    <w:rsid w:val="00814660"/>
    <w:rsid w:val="00816CD8"/>
    <w:rsid w:val="00821818"/>
    <w:rsid w:val="00825977"/>
    <w:rsid w:val="008334BA"/>
    <w:rsid w:val="008341B1"/>
    <w:rsid w:val="00840292"/>
    <w:rsid w:val="0085005E"/>
    <w:rsid w:val="008545AA"/>
    <w:rsid w:val="00854A52"/>
    <w:rsid w:val="008564F2"/>
    <w:rsid w:val="00856B8F"/>
    <w:rsid w:val="00860952"/>
    <w:rsid w:val="0086238D"/>
    <w:rsid w:val="0087116D"/>
    <w:rsid w:val="0087120A"/>
    <w:rsid w:val="0087662C"/>
    <w:rsid w:val="00881CED"/>
    <w:rsid w:val="0088271E"/>
    <w:rsid w:val="008A13A2"/>
    <w:rsid w:val="008A1633"/>
    <w:rsid w:val="008A455D"/>
    <w:rsid w:val="008A7636"/>
    <w:rsid w:val="008A7B6A"/>
    <w:rsid w:val="008B2538"/>
    <w:rsid w:val="008B43D7"/>
    <w:rsid w:val="008C6F36"/>
    <w:rsid w:val="008D1E0A"/>
    <w:rsid w:val="008D2339"/>
    <w:rsid w:val="008D4127"/>
    <w:rsid w:val="008E1A68"/>
    <w:rsid w:val="008E2347"/>
    <w:rsid w:val="008E4C86"/>
    <w:rsid w:val="00921907"/>
    <w:rsid w:val="00934B32"/>
    <w:rsid w:val="00936A6E"/>
    <w:rsid w:val="00937468"/>
    <w:rsid w:val="0094003A"/>
    <w:rsid w:val="00955421"/>
    <w:rsid w:val="009570BD"/>
    <w:rsid w:val="009576F1"/>
    <w:rsid w:val="0097161B"/>
    <w:rsid w:val="00974214"/>
    <w:rsid w:val="0097553B"/>
    <w:rsid w:val="009845A8"/>
    <w:rsid w:val="00984B43"/>
    <w:rsid w:val="00997FBF"/>
    <w:rsid w:val="009A5E52"/>
    <w:rsid w:val="009B633E"/>
    <w:rsid w:val="009B71EF"/>
    <w:rsid w:val="009C63D9"/>
    <w:rsid w:val="009D08BC"/>
    <w:rsid w:val="009D7FE9"/>
    <w:rsid w:val="009E6264"/>
    <w:rsid w:val="009F2486"/>
    <w:rsid w:val="009F3085"/>
    <w:rsid w:val="00A00C7A"/>
    <w:rsid w:val="00A014F7"/>
    <w:rsid w:val="00A13E2E"/>
    <w:rsid w:val="00A174EF"/>
    <w:rsid w:val="00A23225"/>
    <w:rsid w:val="00A27031"/>
    <w:rsid w:val="00A328F3"/>
    <w:rsid w:val="00A33DBB"/>
    <w:rsid w:val="00A36F59"/>
    <w:rsid w:val="00A37E2F"/>
    <w:rsid w:val="00A4160D"/>
    <w:rsid w:val="00A47265"/>
    <w:rsid w:val="00A51467"/>
    <w:rsid w:val="00A519FD"/>
    <w:rsid w:val="00A56F7A"/>
    <w:rsid w:val="00A57753"/>
    <w:rsid w:val="00A61DA5"/>
    <w:rsid w:val="00A64785"/>
    <w:rsid w:val="00A65307"/>
    <w:rsid w:val="00A6650D"/>
    <w:rsid w:val="00A67823"/>
    <w:rsid w:val="00A70FE1"/>
    <w:rsid w:val="00A774D2"/>
    <w:rsid w:val="00A80453"/>
    <w:rsid w:val="00A8110D"/>
    <w:rsid w:val="00A81ACC"/>
    <w:rsid w:val="00A970DE"/>
    <w:rsid w:val="00AA0EE8"/>
    <w:rsid w:val="00AA1989"/>
    <w:rsid w:val="00AA3456"/>
    <w:rsid w:val="00AA5B28"/>
    <w:rsid w:val="00AA688E"/>
    <w:rsid w:val="00AB16C3"/>
    <w:rsid w:val="00AB39D7"/>
    <w:rsid w:val="00AB46B9"/>
    <w:rsid w:val="00AB6E78"/>
    <w:rsid w:val="00AB7217"/>
    <w:rsid w:val="00AC465C"/>
    <w:rsid w:val="00AC4ECC"/>
    <w:rsid w:val="00AD0429"/>
    <w:rsid w:val="00AD09A6"/>
    <w:rsid w:val="00AD1279"/>
    <w:rsid w:val="00AD193D"/>
    <w:rsid w:val="00AD452F"/>
    <w:rsid w:val="00AE4474"/>
    <w:rsid w:val="00AF3F3D"/>
    <w:rsid w:val="00B028D8"/>
    <w:rsid w:val="00B036F0"/>
    <w:rsid w:val="00B05ED4"/>
    <w:rsid w:val="00B1045C"/>
    <w:rsid w:val="00B1503C"/>
    <w:rsid w:val="00B212E5"/>
    <w:rsid w:val="00B27881"/>
    <w:rsid w:val="00B52B57"/>
    <w:rsid w:val="00B53CC2"/>
    <w:rsid w:val="00B567BA"/>
    <w:rsid w:val="00B625FA"/>
    <w:rsid w:val="00B6427C"/>
    <w:rsid w:val="00B65968"/>
    <w:rsid w:val="00B66999"/>
    <w:rsid w:val="00B66E02"/>
    <w:rsid w:val="00B67592"/>
    <w:rsid w:val="00B703D7"/>
    <w:rsid w:val="00B70469"/>
    <w:rsid w:val="00B745C6"/>
    <w:rsid w:val="00B834D4"/>
    <w:rsid w:val="00BA72DE"/>
    <w:rsid w:val="00BC1C84"/>
    <w:rsid w:val="00BC20D9"/>
    <w:rsid w:val="00BC4D4C"/>
    <w:rsid w:val="00BC5C29"/>
    <w:rsid w:val="00BD0B8C"/>
    <w:rsid w:val="00BD102A"/>
    <w:rsid w:val="00BD1201"/>
    <w:rsid w:val="00BD1EA5"/>
    <w:rsid w:val="00BD590E"/>
    <w:rsid w:val="00BD7B2F"/>
    <w:rsid w:val="00BE1540"/>
    <w:rsid w:val="00BE1C63"/>
    <w:rsid w:val="00BE3476"/>
    <w:rsid w:val="00BE3511"/>
    <w:rsid w:val="00BF15CB"/>
    <w:rsid w:val="00BF5D60"/>
    <w:rsid w:val="00BF6E1B"/>
    <w:rsid w:val="00C00892"/>
    <w:rsid w:val="00C0211D"/>
    <w:rsid w:val="00C0780E"/>
    <w:rsid w:val="00C1039E"/>
    <w:rsid w:val="00C122DB"/>
    <w:rsid w:val="00C2102C"/>
    <w:rsid w:val="00C2535E"/>
    <w:rsid w:val="00C261B5"/>
    <w:rsid w:val="00C2683E"/>
    <w:rsid w:val="00C271DB"/>
    <w:rsid w:val="00C3077D"/>
    <w:rsid w:val="00C31D25"/>
    <w:rsid w:val="00C3598D"/>
    <w:rsid w:val="00C4316C"/>
    <w:rsid w:val="00C46E9E"/>
    <w:rsid w:val="00C4735D"/>
    <w:rsid w:val="00C54817"/>
    <w:rsid w:val="00C5536F"/>
    <w:rsid w:val="00C615D5"/>
    <w:rsid w:val="00C620C8"/>
    <w:rsid w:val="00C62580"/>
    <w:rsid w:val="00C630A2"/>
    <w:rsid w:val="00C70389"/>
    <w:rsid w:val="00C7516B"/>
    <w:rsid w:val="00C7744A"/>
    <w:rsid w:val="00C80435"/>
    <w:rsid w:val="00C8420A"/>
    <w:rsid w:val="00C946BD"/>
    <w:rsid w:val="00CA06D1"/>
    <w:rsid w:val="00CA440C"/>
    <w:rsid w:val="00CA5AD0"/>
    <w:rsid w:val="00CA6EFF"/>
    <w:rsid w:val="00CA7220"/>
    <w:rsid w:val="00CB24FC"/>
    <w:rsid w:val="00CC2AC9"/>
    <w:rsid w:val="00CD31DD"/>
    <w:rsid w:val="00CE553C"/>
    <w:rsid w:val="00CF75DC"/>
    <w:rsid w:val="00D012B3"/>
    <w:rsid w:val="00D044B2"/>
    <w:rsid w:val="00D05F9A"/>
    <w:rsid w:val="00D1039A"/>
    <w:rsid w:val="00D160F9"/>
    <w:rsid w:val="00D222DB"/>
    <w:rsid w:val="00D22B75"/>
    <w:rsid w:val="00D22F51"/>
    <w:rsid w:val="00D303AF"/>
    <w:rsid w:val="00D303C6"/>
    <w:rsid w:val="00D35A9D"/>
    <w:rsid w:val="00D402B6"/>
    <w:rsid w:val="00D4213E"/>
    <w:rsid w:val="00D44C98"/>
    <w:rsid w:val="00D47891"/>
    <w:rsid w:val="00D50425"/>
    <w:rsid w:val="00D52AAC"/>
    <w:rsid w:val="00D56FF8"/>
    <w:rsid w:val="00D60A83"/>
    <w:rsid w:val="00D65803"/>
    <w:rsid w:val="00D707AD"/>
    <w:rsid w:val="00D7327D"/>
    <w:rsid w:val="00D750E2"/>
    <w:rsid w:val="00D76CD2"/>
    <w:rsid w:val="00D802F0"/>
    <w:rsid w:val="00D920D1"/>
    <w:rsid w:val="00D93ED0"/>
    <w:rsid w:val="00D95D6C"/>
    <w:rsid w:val="00DA0AF7"/>
    <w:rsid w:val="00DB1E4E"/>
    <w:rsid w:val="00DB3567"/>
    <w:rsid w:val="00DB6837"/>
    <w:rsid w:val="00DC04E4"/>
    <w:rsid w:val="00DC3351"/>
    <w:rsid w:val="00DD03D8"/>
    <w:rsid w:val="00DD1101"/>
    <w:rsid w:val="00DE0BE8"/>
    <w:rsid w:val="00DE0F8A"/>
    <w:rsid w:val="00DE4C80"/>
    <w:rsid w:val="00DF61B5"/>
    <w:rsid w:val="00E03D8D"/>
    <w:rsid w:val="00E06B08"/>
    <w:rsid w:val="00E2058C"/>
    <w:rsid w:val="00E20F22"/>
    <w:rsid w:val="00E232C5"/>
    <w:rsid w:val="00E2415F"/>
    <w:rsid w:val="00E33A5E"/>
    <w:rsid w:val="00E33D7C"/>
    <w:rsid w:val="00E340BF"/>
    <w:rsid w:val="00E4008B"/>
    <w:rsid w:val="00E405E2"/>
    <w:rsid w:val="00E436E0"/>
    <w:rsid w:val="00E507CB"/>
    <w:rsid w:val="00E562A0"/>
    <w:rsid w:val="00E57554"/>
    <w:rsid w:val="00E60D53"/>
    <w:rsid w:val="00E61547"/>
    <w:rsid w:val="00E62740"/>
    <w:rsid w:val="00E64A6F"/>
    <w:rsid w:val="00E670C2"/>
    <w:rsid w:val="00E70193"/>
    <w:rsid w:val="00E75B61"/>
    <w:rsid w:val="00E80612"/>
    <w:rsid w:val="00E84EEE"/>
    <w:rsid w:val="00E96C7E"/>
    <w:rsid w:val="00EA0E9D"/>
    <w:rsid w:val="00EA1512"/>
    <w:rsid w:val="00EB0C18"/>
    <w:rsid w:val="00EB2381"/>
    <w:rsid w:val="00EB2A29"/>
    <w:rsid w:val="00EB4A54"/>
    <w:rsid w:val="00EB52D4"/>
    <w:rsid w:val="00EC4791"/>
    <w:rsid w:val="00ED057D"/>
    <w:rsid w:val="00ED1223"/>
    <w:rsid w:val="00ED200D"/>
    <w:rsid w:val="00ED4A95"/>
    <w:rsid w:val="00EE1939"/>
    <w:rsid w:val="00EE640B"/>
    <w:rsid w:val="00EF266F"/>
    <w:rsid w:val="00EF3CB9"/>
    <w:rsid w:val="00EF51DD"/>
    <w:rsid w:val="00F01058"/>
    <w:rsid w:val="00F01B89"/>
    <w:rsid w:val="00F01ED3"/>
    <w:rsid w:val="00F0221C"/>
    <w:rsid w:val="00F105EF"/>
    <w:rsid w:val="00F12FCC"/>
    <w:rsid w:val="00F1595D"/>
    <w:rsid w:val="00F168D9"/>
    <w:rsid w:val="00F24703"/>
    <w:rsid w:val="00F32546"/>
    <w:rsid w:val="00F374E2"/>
    <w:rsid w:val="00F37D92"/>
    <w:rsid w:val="00F438AE"/>
    <w:rsid w:val="00F47277"/>
    <w:rsid w:val="00F56383"/>
    <w:rsid w:val="00F574D5"/>
    <w:rsid w:val="00F74E12"/>
    <w:rsid w:val="00F8091B"/>
    <w:rsid w:val="00F832FD"/>
    <w:rsid w:val="00F95E12"/>
    <w:rsid w:val="00F96B34"/>
    <w:rsid w:val="00FA0519"/>
    <w:rsid w:val="00FB2475"/>
    <w:rsid w:val="00FB47F8"/>
    <w:rsid w:val="00FB5D90"/>
    <w:rsid w:val="00FC65E9"/>
    <w:rsid w:val="00FD4C82"/>
    <w:rsid w:val="00FE084F"/>
    <w:rsid w:val="00FF46CB"/>
    <w:rsid w:val="00FF5496"/>
    <w:rsid w:val="00FF56D4"/>
    <w:rsid w:val="080D5B22"/>
    <w:rsid w:val="0CAB6810"/>
    <w:rsid w:val="155502B7"/>
    <w:rsid w:val="160352E4"/>
    <w:rsid w:val="1BC5436F"/>
    <w:rsid w:val="2D6E72AB"/>
    <w:rsid w:val="2EAF3EC8"/>
    <w:rsid w:val="309F2062"/>
    <w:rsid w:val="31284E4C"/>
    <w:rsid w:val="358673EF"/>
    <w:rsid w:val="3A793D32"/>
    <w:rsid w:val="489F036E"/>
    <w:rsid w:val="4A665FE4"/>
    <w:rsid w:val="4BE55F14"/>
    <w:rsid w:val="50CD5BDB"/>
    <w:rsid w:val="51A626E4"/>
    <w:rsid w:val="63F012CB"/>
    <w:rsid w:val="67585553"/>
    <w:rsid w:val="6ED537F7"/>
    <w:rsid w:val="767D6522"/>
    <w:rsid w:val="78C9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MingLiU_HKSCS"/>
      <w:color w:val="000000"/>
      <w:sz w:val="24"/>
      <w:szCs w:val="24"/>
      <w:lang w:val="zh-TW" w:eastAsia="zh-TW" w:bidi="zh-TW"/>
    </w:rPr>
  </w:style>
  <w:style w:type="paragraph" w:styleId="2">
    <w:name w:val="heading 1"/>
    <w:basedOn w:val="1"/>
    <w:next w:val="1"/>
    <w:qFormat/>
    <w:uiPriority w:val="0"/>
    <w:pPr>
      <w:keepNext/>
      <w:keepLines/>
      <w:widowControl/>
      <w:spacing w:before="480" w:line="276" w:lineRule="auto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  <w:lang w:eastAsia="en-US" w:bidi="en-US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widowControl/>
      <w:spacing w:before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eastAsia="en-US" w:bidi="en-US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/>
      <w:spacing w:before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sz w:val="22"/>
      <w:lang w:eastAsia="en-US" w:bidi="en-US"/>
    </w:rPr>
  </w:style>
  <w:style w:type="character" w:default="1" w:styleId="11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4"/>
    <w:semiHidden/>
    <w:unhideWhenUsed/>
    <w:uiPriority w:val="0"/>
    <w:rPr>
      <w:rFonts w:ascii="宋体"/>
    </w:rPr>
  </w:style>
  <w:style w:type="paragraph" w:styleId="6">
    <w:name w:val="Balloon Text"/>
    <w:basedOn w:val="1"/>
    <w:link w:val="21"/>
    <w:semiHidden/>
    <w:unhideWhenUsed/>
    <w:uiPriority w:val="0"/>
    <w:rPr>
      <w:rFonts w:ascii="宋体"/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baseline"/>
    </w:pPr>
    <w:rPr>
      <w:rFonts w:ascii="inherit" w:hAnsi="inherit"/>
    </w:rPr>
  </w:style>
  <w:style w:type="paragraph" w:styleId="10">
    <w:name w:val="Normal (Web)"/>
    <w:basedOn w:val="1"/>
    <w:qFormat/>
    <w:uiPriority w:val="0"/>
    <w:pPr>
      <w:spacing w:after="150" w:line="390" w:lineRule="atLeast"/>
    </w:pPr>
    <w:rPr>
      <w:rFonts w:ascii="Calibri" w:hAnsi="Calibri" w:cs="Times New Roman"/>
      <w:color w:val="auto"/>
      <w:lang w:val="en-US" w:eastAsia="zh-CN" w:bidi="ar-SA"/>
    </w:rPr>
  </w:style>
  <w:style w:type="character" w:styleId="12">
    <w:name w:val="Strong"/>
    <w:qFormat/>
    <w:uiPriority w:val="0"/>
    <w:rPr>
      <w:b/>
    </w:rPr>
  </w:style>
  <w:style w:type="character" w:styleId="13">
    <w:name w:val="page number"/>
    <w:basedOn w:val="11"/>
    <w:uiPriority w:val="0"/>
  </w:style>
  <w:style w:type="character" w:styleId="14">
    <w:name w:val="FollowedHyperlink"/>
    <w:basedOn w:val="11"/>
    <w:semiHidden/>
    <w:unhideWhenUsed/>
    <w:uiPriority w:val="0"/>
    <w:rPr>
      <w:color w:val="954F72" w:themeColor="followedHyperlink"/>
      <w:u w:val="single"/>
    </w:rPr>
  </w:style>
  <w:style w:type="character" w:styleId="15">
    <w:name w:val="line number"/>
    <w:basedOn w:val="11"/>
    <w:semiHidden/>
    <w:unhideWhenUsed/>
    <w:uiPriority w:val="0"/>
  </w:style>
  <w:style w:type="character" w:styleId="16">
    <w:name w:val="Hyperlink"/>
    <w:basedOn w:val="11"/>
    <w:unhideWhenUsed/>
    <w:qFormat/>
    <w:uiPriority w:val="99"/>
    <w:rPr>
      <w:color w:val="136EC2"/>
      <w:u w:val="single"/>
    </w:rPr>
  </w:style>
  <w:style w:type="table" w:styleId="18">
    <w:name w:val="Table Grid"/>
    <w:basedOn w:val="17"/>
    <w:unhideWhenUsed/>
    <w:qFormat/>
    <w:uiPriority w:val="9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styleId="20">
    <w:name w:val="List Paragraph"/>
    <w:basedOn w:val="1"/>
    <w:qFormat/>
    <w:uiPriority w:val="34"/>
    <w:pPr>
      <w:widowControl/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lang w:eastAsia="en-US" w:bidi="en-US"/>
    </w:rPr>
  </w:style>
  <w:style w:type="character" w:customStyle="1" w:styleId="21">
    <w:name w:val="批注框文本字符"/>
    <w:basedOn w:val="11"/>
    <w:link w:val="6"/>
    <w:semiHidden/>
    <w:uiPriority w:val="0"/>
    <w:rPr>
      <w:rFonts w:ascii="宋体" w:hAnsi="Times New Roman" w:eastAsia="宋体" w:cs="MingLiU_HKSCS"/>
      <w:color w:val="000000"/>
      <w:sz w:val="18"/>
      <w:szCs w:val="18"/>
      <w:lang w:val="zh-TW" w:eastAsia="zh-TW" w:bidi="zh-TW"/>
    </w:rPr>
  </w:style>
  <w:style w:type="character" w:customStyle="1" w:styleId="22">
    <w:name w:val="页脚字符"/>
    <w:basedOn w:val="11"/>
    <w:link w:val="7"/>
    <w:qFormat/>
    <w:uiPriority w:val="99"/>
    <w:rPr>
      <w:rFonts w:ascii="Times New Roman" w:hAnsi="Times New Roman" w:eastAsia="宋体" w:cs="MingLiU_HKSCS"/>
      <w:color w:val="000000"/>
      <w:sz w:val="18"/>
      <w:szCs w:val="24"/>
      <w:lang w:val="zh-TW" w:eastAsia="zh-TW" w:bidi="zh-TW"/>
    </w:rPr>
  </w:style>
  <w:style w:type="paragraph" w:customStyle="1" w:styleId="23">
    <w:name w:val="Revision"/>
    <w:hidden/>
    <w:semiHidden/>
    <w:uiPriority w:val="99"/>
    <w:rPr>
      <w:rFonts w:ascii="Times New Roman" w:hAnsi="Times New Roman" w:eastAsia="宋体" w:cs="MingLiU_HKSCS"/>
      <w:color w:val="000000"/>
      <w:sz w:val="24"/>
      <w:szCs w:val="24"/>
      <w:lang w:val="zh-TW" w:eastAsia="zh-TW" w:bidi="zh-TW"/>
    </w:rPr>
  </w:style>
  <w:style w:type="character" w:customStyle="1" w:styleId="24">
    <w:name w:val="文档结构图字符"/>
    <w:basedOn w:val="11"/>
    <w:link w:val="5"/>
    <w:semiHidden/>
    <w:uiPriority w:val="0"/>
    <w:rPr>
      <w:rFonts w:ascii="宋体" w:hAnsi="Times New Roman" w:eastAsia="宋体" w:cs="MingLiU_HKSCS"/>
      <w:color w:val="000000"/>
      <w:sz w:val="24"/>
      <w:szCs w:val="2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F908CF-5CDC-6B41-824B-A582A6A181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16</Pages>
  <Words>896</Words>
  <Characters>5108</Characters>
  <Lines>42</Lines>
  <Paragraphs>11</Paragraphs>
  <TotalTime>61</TotalTime>
  <ScaleCrop>false</ScaleCrop>
  <LinksUpToDate>false</LinksUpToDate>
  <CharactersWithSpaces>5993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2018-09-18T12:56:00Z</dcterms:created>
  <dc:creator>DELL</dc:creator>
  <cp:lastModifiedBy>DELL</cp:lastModifiedBy>
  <cp:lastPrinted>2018-09-18T12:56:00Z</cp:lastPrinted>
  <dcterms:modified xsi:type="dcterms:W3CDTF">2019-01-17T02:01:00Z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